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073FBD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от  ____________2021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_____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5D608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5D60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4C0426" w:rsidRDefault="007A3935" w:rsidP="005D60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4C0426">
        <w:rPr>
          <w:rFonts w:ascii="Times New Roman" w:hAnsi="Times New Roman" w:cs="Times New Roman"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4C0426" w:rsidRDefault="007A3935" w:rsidP="004C04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</w:p>
    <w:p w:rsidR="004C0426" w:rsidRDefault="005D608C" w:rsidP="004C04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1E2D6B">
        <w:rPr>
          <w:rFonts w:ascii="Times New Roman" w:hAnsi="Times New Roman"/>
          <w:sz w:val="26"/>
          <w:szCs w:val="26"/>
        </w:rPr>
        <w:t xml:space="preserve"> городское поселение</w:t>
      </w:r>
    </w:p>
    <w:p w:rsidR="005D608C" w:rsidRPr="004C0426" w:rsidRDefault="005D608C" w:rsidP="004C04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</w:p>
    <w:p w:rsidR="00D44831" w:rsidRPr="005D608C" w:rsidRDefault="005D608C" w:rsidP="005D608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 xml:space="preserve">области» </w:t>
      </w:r>
      <w:r>
        <w:rPr>
          <w:rFonts w:ascii="Times New Roman" w:hAnsi="Times New Roman"/>
          <w:sz w:val="26"/>
          <w:szCs w:val="26"/>
        </w:rPr>
        <w:t xml:space="preserve">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5D608C" w:rsidRDefault="007F0627" w:rsidP="005D608C">
      <w:pPr>
        <w:spacing w:after="0"/>
        <w:jc w:val="both"/>
        <w:rPr>
          <w:rFonts w:ascii="Times New Roman" w:hAnsi="Times New Roman"/>
          <w:sz w:val="26"/>
          <w:szCs w:val="26"/>
        </w:rPr>
      </w:pPr>
      <w:bookmarkStart w:id="0" w:name="P11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="00D44831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городское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поселение 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области»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5D608C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D44831"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D44831" w:rsidRPr="00726F14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72DA" w:rsidRPr="00EF00ED" w:rsidRDefault="002372DA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___________2021г. № 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94512E" w:rsidRDefault="00245F1C" w:rsidP="005D6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  <w:r w:rsidR="005D608C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городское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поселение 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области»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5D608C" w:rsidRPr="0094512E" w:rsidRDefault="005D608C" w:rsidP="005D6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допускать загрязнение, захламление, деградацию и ухудшение плодородия почв на землях соответствующих категорий.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а) обязательных требований о недопущении самовольного земельных участков, в том числе использования земельных участков лицом, не имеющим предусмотренных законодательством прав на них;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в) обязательных требований, связанных с обязательным использованием земельных участков,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г) обязательных требований, связанных с обязанностью по приведению земельных участков в состояние, пригодное для использования по целевому назначению;</w:t>
      </w:r>
    </w:p>
    <w:p w:rsidR="000324FA" w:rsidRPr="00EF00ED" w:rsidRDefault="001240B3" w:rsidP="00E076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F00ED">
        <w:rPr>
          <w:rFonts w:ascii="Times New Roman" w:hAnsi="Times New Roman" w:cs="Times New Roman"/>
          <w:sz w:val="26"/>
          <w:szCs w:val="26"/>
        </w:rPr>
        <w:t>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324FA" w:rsidRPr="00EF00ED" w:rsidRDefault="000324FA" w:rsidP="00E076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муниципального земельного контроля, а также Планы проведения плановых проверок соблюдения требований земельного законодательства Российской Федерации юридических лиц, индивидуальных предпринимателей, физических лиц и итоги по ним. </w:t>
      </w:r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статьей 7.1. Кодекса Российской Федерации об административных правонарушениях (далее – КоАП РФ) предусмотрено наложение административного штрафа в случае, если определена кадастровая стоимость земельного участка, на граждан в размере от 1 до 1,5 процента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 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        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ст. 19.5. КоАП РФ предусмотрено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За 2020 год проверки не проводились.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lastRenderedPageBreak/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6712C7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удается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Работа по профилактике нарушений обязательных требований реализуется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следующим направлениям: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информирование подконтрольных субъектов о планируемых и проведенных </w:t>
      </w:r>
      <w:r w:rsidRPr="00217A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проверках и их результатах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информационно-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телекоммуникационной сети «Интернет»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официальный сайт управления), в том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числе о типовых нарушениях обязательных требований, выявляемых в ходе проверок;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информирование подконтрольных субъектов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существующих актуальных обяза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тельных требованиях путём разработки и размещения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открытом доступе на официаль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 сайте перечня правовых актов и их отде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льных частей (положений), содер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жащих обязательные требования, соблюдение которых оценивается при осуществлении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контроля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размещение в открытом доступе текстов данных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правовых актов;</w:t>
      </w:r>
    </w:p>
    <w:p w:rsid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разработка и размещение в открыт</w:t>
      </w:r>
      <w:r w:rsidRPr="00A65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доступе на официальном сайте методических материалов и ру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ководств по соблюдению обязательных требований </w:t>
      </w:r>
      <w:r w:rsidR="00A658A8" w:rsidRPr="00A658A8">
        <w:rPr>
          <w:rFonts w:ascii="Times New Roman" w:hAnsi="Times New Roman" w:cs="Times New Roman"/>
          <w:sz w:val="26"/>
          <w:szCs w:val="26"/>
        </w:rPr>
        <w:t xml:space="preserve">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A658A8" w:rsidRPr="00A658A8">
        <w:rPr>
          <w:rFonts w:ascii="Times New Roman" w:hAnsi="Times New Roman" w:cs="Times New Roman"/>
          <w:sz w:val="26"/>
          <w:szCs w:val="26"/>
          <w:lang w:eastAsia="ru-RU"/>
        </w:rPr>
        <w:t>исполнение решений, принимаемых по результатам контрольных мероприятий</w:t>
      </w:r>
      <w:r w:rsidR="008438D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8438D6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23707">
        <w:rPr>
          <w:rFonts w:ascii="Times New Roman" w:hAnsi="Times New Roman" w:cs="Times New Roman"/>
          <w:sz w:val="26"/>
          <w:szCs w:val="26"/>
        </w:rPr>
        <w:t xml:space="preserve">о итогам обобщения правоприменительной практики должностными лицами, уполномоченные осуществлять муниципальный земельный контроль, готовится доклад, содержащий результаты обобщения правоприменительной практики по осуществлению муниципального земельного контроля, который </w:t>
      </w:r>
      <w:r w:rsidRPr="00C23707">
        <w:rPr>
          <w:rFonts w:ascii="Times New Roman" w:hAnsi="Times New Roman" w:cs="Times New Roman"/>
          <w:sz w:val="26"/>
          <w:szCs w:val="26"/>
        </w:rPr>
        <w:lastRenderedPageBreak/>
        <w:t>утверждается главой Администрации и размещается в срок до 1 июля года, следующего за отчетным годом, на официальном сайте Администрации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438D6" w:rsidRPr="000411E4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0411E4">
        <w:rPr>
          <w:rFonts w:ascii="Times New Roman" w:hAnsi="Times New Roman" w:cs="Times New Roman"/>
          <w:sz w:val="26"/>
          <w:szCs w:val="26"/>
        </w:rPr>
        <w:t>- объявление предостережений о недопустимости нарушения обязательных требований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="000E5B56" w:rsidRPr="000411E4">
        <w:rPr>
          <w:rFonts w:ascii="Times New Roman" w:hAnsi="Times New Roman" w:cs="Times New Roman"/>
          <w:sz w:val="26"/>
          <w:szCs w:val="26"/>
        </w:rPr>
        <w:t>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- консультирование в устной или письменной форме по следующим вопросам: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а) организация и осуществление муниципального земельного контроля;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б) порядок осуществления контрольных мероприятий, установленных настоящим Положением;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0E5B56" w:rsidRPr="000411E4" w:rsidRDefault="005A1979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411E4">
        <w:rPr>
          <w:rFonts w:ascii="Times New Roman" w:hAnsi="Times New Roman" w:cs="Times New Roman"/>
          <w:sz w:val="26"/>
          <w:szCs w:val="26"/>
        </w:rPr>
        <w:t xml:space="preserve">- осуществление профилактических визитов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0411E4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0411E4">
        <w:rPr>
          <w:rFonts w:ascii="Times New Roman" w:hAnsi="Times New Roman" w:cs="Times New Roman"/>
          <w:sz w:val="26"/>
          <w:szCs w:val="26"/>
        </w:rPr>
        <w:t>, в ходе которых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земельных участков, исходя из их отнесения к соответствующей категории риска.</w:t>
      </w:r>
    </w:p>
    <w:p w:rsidR="0059111D" w:rsidRPr="000411E4" w:rsidRDefault="000E5B56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Таким образом, п</w:t>
      </w:r>
      <w:r w:rsidR="0059111D" w:rsidRPr="000411E4">
        <w:rPr>
          <w:rFonts w:ascii="Times New Roman" w:hAnsi="Times New Roman" w:cs="Times New Roman"/>
          <w:sz w:val="26"/>
          <w:szCs w:val="26"/>
        </w:rPr>
        <w:t>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9111D" w:rsidRPr="000411E4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EF00ED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EF00ED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 уровней риска;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8154C2" w:rsidRPr="007D2EA3" w:rsidRDefault="007D2EA3" w:rsidP="007D2EA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</w:r>
      <w:r w:rsidR="008B5F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6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 по следующим вопросам: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а) организация и осуществление муниципального земельного контроля;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б) порядок осуществления контрольных мероприятий, установленных настоящим Положением;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в) порядок обжалования действий (бездействия) должностных лиц, 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уполномоченных осуществлять муниципальный земельный контроль;</w:t>
            </w:r>
          </w:p>
          <w:p w:rsidR="00B337D5" w:rsidRPr="00A01F01" w:rsidRDefault="00B337D5" w:rsidP="00996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проверок,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понятность обязательных требований, обеспечивающая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систематического взаимодействия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C5D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10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не менее 20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726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411E4"/>
    <w:rsid w:val="00050C22"/>
    <w:rsid w:val="00073FBD"/>
    <w:rsid w:val="000A1210"/>
    <w:rsid w:val="000B4F56"/>
    <w:rsid w:val="000C6765"/>
    <w:rsid w:val="000D3750"/>
    <w:rsid w:val="000E5B56"/>
    <w:rsid w:val="00106C57"/>
    <w:rsid w:val="00114DA6"/>
    <w:rsid w:val="001240B3"/>
    <w:rsid w:val="00150DDA"/>
    <w:rsid w:val="00186E91"/>
    <w:rsid w:val="001B12B5"/>
    <w:rsid w:val="00217A78"/>
    <w:rsid w:val="002372DA"/>
    <w:rsid w:val="00245F1C"/>
    <w:rsid w:val="002571A3"/>
    <w:rsid w:val="002A4A91"/>
    <w:rsid w:val="002C7D56"/>
    <w:rsid w:val="002F2F5E"/>
    <w:rsid w:val="003072CC"/>
    <w:rsid w:val="00334017"/>
    <w:rsid w:val="0039519A"/>
    <w:rsid w:val="00395388"/>
    <w:rsid w:val="00396668"/>
    <w:rsid w:val="003A3985"/>
    <w:rsid w:val="00401BA6"/>
    <w:rsid w:val="004050B5"/>
    <w:rsid w:val="00443C3C"/>
    <w:rsid w:val="0044744B"/>
    <w:rsid w:val="00447B46"/>
    <w:rsid w:val="0045096F"/>
    <w:rsid w:val="00454B59"/>
    <w:rsid w:val="004B55A2"/>
    <w:rsid w:val="004C0426"/>
    <w:rsid w:val="004D7283"/>
    <w:rsid w:val="004F1ADE"/>
    <w:rsid w:val="005565B1"/>
    <w:rsid w:val="00561434"/>
    <w:rsid w:val="00566FBE"/>
    <w:rsid w:val="00571BC8"/>
    <w:rsid w:val="00587669"/>
    <w:rsid w:val="0059111D"/>
    <w:rsid w:val="005A1979"/>
    <w:rsid w:val="005B726E"/>
    <w:rsid w:val="005D608C"/>
    <w:rsid w:val="005E6E36"/>
    <w:rsid w:val="00613728"/>
    <w:rsid w:val="00657E0C"/>
    <w:rsid w:val="006712C7"/>
    <w:rsid w:val="006A1744"/>
    <w:rsid w:val="006A2D64"/>
    <w:rsid w:val="006D4742"/>
    <w:rsid w:val="006F3981"/>
    <w:rsid w:val="007035EA"/>
    <w:rsid w:val="00720002"/>
    <w:rsid w:val="00720616"/>
    <w:rsid w:val="00720DF8"/>
    <w:rsid w:val="00726F14"/>
    <w:rsid w:val="00733FBE"/>
    <w:rsid w:val="00772AEF"/>
    <w:rsid w:val="007818CA"/>
    <w:rsid w:val="00782247"/>
    <w:rsid w:val="00790F85"/>
    <w:rsid w:val="00794E7A"/>
    <w:rsid w:val="007A3935"/>
    <w:rsid w:val="007B6444"/>
    <w:rsid w:val="007D2EA3"/>
    <w:rsid w:val="007F0627"/>
    <w:rsid w:val="00802A67"/>
    <w:rsid w:val="008154C2"/>
    <w:rsid w:val="008438D6"/>
    <w:rsid w:val="00872D57"/>
    <w:rsid w:val="00880146"/>
    <w:rsid w:val="00890DF7"/>
    <w:rsid w:val="008B5FC8"/>
    <w:rsid w:val="008C5858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37D5"/>
    <w:rsid w:val="00B61BF4"/>
    <w:rsid w:val="00B706C7"/>
    <w:rsid w:val="00BC6A8D"/>
    <w:rsid w:val="00C33840"/>
    <w:rsid w:val="00C817C0"/>
    <w:rsid w:val="00CC7251"/>
    <w:rsid w:val="00CD010C"/>
    <w:rsid w:val="00CE295A"/>
    <w:rsid w:val="00CE3D46"/>
    <w:rsid w:val="00D2386D"/>
    <w:rsid w:val="00D437D5"/>
    <w:rsid w:val="00D44831"/>
    <w:rsid w:val="00DF3F9E"/>
    <w:rsid w:val="00E076B3"/>
    <w:rsid w:val="00E373A9"/>
    <w:rsid w:val="00E54854"/>
    <w:rsid w:val="00E65317"/>
    <w:rsid w:val="00EF00ED"/>
    <w:rsid w:val="00EF15E8"/>
    <w:rsid w:val="00F63058"/>
    <w:rsid w:val="00F630CB"/>
    <w:rsid w:val="00F824FE"/>
    <w:rsid w:val="00F87198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F87E-5E14-4189-ABFC-AE7590ED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3744</Words>
  <Characters>21343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75</cp:revision>
  <cp:lastPrinted>2021-09-24T12:27:00Z</cp:lastPrinted>
  <dcterms:created xsi:type="dcterms:W3CDTF">2021-09-06T15:32:00Z</dcterms:created>
  <dcterms:modified xsi:type="dcterms:W3CDTF">2021-10-08T07:47:00Z</dcterms:modified>
</cp:coreProperties>
</file>