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6E33B7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</w:pPr>
      <w:r w:rsidRPr="003E7AC0">
        <w:t xml:space="preserve">от </w:t>
      </w:r>
      <w:r w:rsidR="006E33B7">
        <w:t>17.12.</w:t>
      </w:r>
      <w:r w:rsidR="00B27712">
        <w:t xml:space="preserve"> </w:t>
      </w:r>
      <w:r w:rsidR="00174BBD">
        <w:t>2021</w:t>
      </w:r>
      <w:r w:rsidRPr="003E7AC0">
        <w:t xml:space="preserve">г. </w:t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  <w:t xml:space="preserve">    № </w:t>
      </w:r>
      <w:r w:rsidR="006E33B7">
        <w:t>985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proofErr w:type="spellStart"/>
      <w:r w:rsidRPr="003E7AC0">
        <w:t>г</w:t>
      </w:r>
      <w:proofErr w:type="gramStart"/>
      <w:r w:rsidRPr="003E7AC0">
        <w:t>.Т</w:t>
      </w:r>
      <w:proofErr w:type="gramEnd"/>
      <w:r w:rsidRPr="003E7AC0">
        <w:t>рубчевск</w:t>
      </w:r>
      <w:proofErr w:type="spellEnd"/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174BBD" w:rsidRPr="00174BBD" w:rsidRDefault="00174BBD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>Об утверждении Порядка</w:t>
      </w:r>
    </w:p>
    <w:p w:rsidR="00174BBD" w:rsidRPr="00174BBD" w:rsidRDefault="00174BBD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 xml:space="preserve">привлечения остатков средств на единый счет бюджета </w:t>
      </w:r>
      <w:proofErr w:type="spellStart"/>
      <w:r w:rsidRPr="00174BBD">
        <w:rPr>
          <w:rFonts w:ascii="Times New Roman" w:hAnsi="Times New Roman"/>
          <w:sz w:val="28"/>
          <w:szCs w:val="28"/>
        </w:rPr>
        <w:t>Трубчевского</w:t>
      </w:r>
      <w:proofErr w:type="spellEnd"/>
      <w:r w:rsidRPr="00174BBD">
        <w:rPr>
          <w:rFonts w:ascii="Times New Roman" w:hAnsi="Times New Roman"/>
          <w:sz w:val="28"/>
          <w:szCs w:val="28"/>
        </w:rPr>
        <w:t xml:space="preserve"> муниципального района и возврата привлеченных средств</w:t>
      </w:r>
    </w:p>
    <w:p w:rsidR="009E7CCB" w:rsidRPr="00174BBD" w:rsidRDefault="009E7CCB" w:rsidP="00174BBD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174BBD" w:rsidRDefault="00174BBD" w:rsidP="00174BBD">
      <w:pPr>
        <w:spacing w:line="276" w:lineRule="auto"/>
        <w:ind w:firstLine="568"/>
        <w:jc w:val="both"/>
        <w:rPr>
          <w:sz w:val="28"/>
          <w:szCs w:val="28"/>
        </w:rPr>
      </w:pPr>
      <w:r w:rsidRPr="00F9431A">
        <w:rPr>
          <w:sz w:val="28"/>
          <w:szCs w:val="28"/>
        </w:rPr>
        <w:t xml:space="preserve">В соответствии со </w:t>
      </w:r>
      <w:hyperlink r:id="rId9" w:history="1">
        <w:r w:rsidRPr="00F9431A">
          <w:rPr>
            <w:color w:val="0000FF"/>
            <w:sz w:val="28"/>
            <w:szCs w:val="28"/>
          </w:rPr>
          <w:t>статьей 236.1</w:t>
        </w:r>
      </w:hyperlink>
      <w:r w:rsidRPr="00F9431A">
        <w:rPr>
          <w:sz w:val="28"/>
          <w:szCs w:val="28"/>
        </w:rPr>
        <w:t xml:space="preserve"> Бюджетного кодекса Российской Федерации </w:t>
      </w:r>
    </w:p>
    <w:p w:rsidR="00D77C7F" w:rsidRPr="003E7AC0" w:rsidRDefault="00A636C4" w:rsidP="002A792A">
      <w:pPr>
        <w:pStyle w:val="a3"/>
        <w:tabs>
          <w:tab w:val="clear" w:pos="0"/>
        </w:tabs>
        <w:ind w:right="57" w:firstLine="709"/>
        <w:rPr>
          <w:rFonts w:ascii="Times New Roman" w:hAnsi="Times New Roman" w:cs="Times New Roman"/>
          <w:sz w:val="26"/>
          <w:szCs w:val="26"/>
        </w:rPr>
      </w:pPr>
      <w:r w:rsidRPr="003E7AC0">
        <w:rPr>
          <w:rFonts w:ascii="Times New Roman" w:hAnsi="Times New Roman" w:cs="Times New Roman"/>
          <w:sz w:val="26"/>
          <w:szCs w:val="26"/>
        </w:rPr>
        <w:t>П</w:t>
      </w:r>
      <w:r w:rsidR="00D77C7F" w:rsidRPr="003E7AC0">
        <w:rPr>
          <w:rFonts w:ascii="Times New Roman" w:hAnsi="Times New Roman" w:cs="Times New Roman"/>
          <w:sz w:val="26"/>
          <w:szCs w:val="26"/>
        </w:rPr>
        <w:t>ОСТАНОВЛЯЮ:</w:t>
      </w:r>
    </w:p>
    <w:p w:rsidR="00174BBD" w:rsidRPr="00F9431A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BBD">
        <w:rPr>
          <w:rFonts w:ascii="Times New Roman" w:hAnsi="Times New Roman" w:cs="Times New Roman"/>
          <w:sz w:val="28"/>
          <w:szCs w:val="28"/>
        </w:rPr>
        <w:t xml:space="preserve">  1.</w:t>
      </w:r>
      <w:r w:rsidRPr="00F9431A">
        <w:rPr>
          <w:sz w:val="28"/>
          <w:szCs w:val="28"/>
        </w:rPr>
        <w:t xml:space="preserve"> </w:t>
      </w:r>
      <w:r w:rsidRPr="00F9431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Pr="00F9431A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F9431A">
        <w:rPr>
          <w:rFonts w:ascii="Times New Roman" w:hAnsi="Times New Roman" w:cs="Times New Roman"/>
          <w:sz w:val="28"/>
          <w:szCs w:val="28"/>
        </w:rPr>
        <w:t xml:space="preserve"> привлечения остатков сре</w:t>
      </w:r>
      <w:proofErr w:type="gramStart"/>
      <w:r w:rsidRPr="00F9431A">
        <w:rPr>
          <w:rFonts w:ascii="Times New Roman" w:hAnsi="Times New Roman" w:cs="Times New Roman"/>
          <w:sz w:val="28"/>
          <w:szCs w:val="28"/>
        </w:rPr>
        <w:t>дств с к</w:t>
      </w:r>
      <w:proofErr w:type="gramEnd"/>
      <w:r w:rsidRPr="00F9431A">
        <w:rPr>
          <w:rFonts w:ascii="Times New Roman" w:hAnsi="Times New Roman" w:cs="Times New Roman"/>
          <w:sz w:val="28"/>
          <w:szCs w:val="28"/>
        </w:rPr>
        <w:t xml:space="preserve">азначейских счетов на единый счет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</w:t>
      </w:r>
      <w:r w:rsidRPr="00F9431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F9431A">
        <w:rPr>
          <w:rFonts w:ascii="Times New Roman" w:hAnsi="Times New Roman" w:cs="Times New Roman"/>
          <w:sz w:val="28"/>
          <w:szCs w:val="28"/>
        </w:rPr>
        <w:t xml:space="preserve"> муниципального района и их возврата на казначейские счета, с которых они были ранее перечислены (прилагается).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>2. П</w:t>
      </w:r>
      <w:r>
        <w:rPr>
          <w:sz w:val="28"/>
          <w:szCs w:val="28"/>
        </w:rPr>
        <w:t>остановление</w:t>
      </w:r>
      <w:r w:rsidRPr="00326A2A">
        <w:rPr>
          <w:sz w:val="28"/>
          <w:szCs w:val="28"/>
        </w:rPr>
        <w:t xml:space="preserve"> вступает в силу с момента подписания и распространяется на правоотн</w:t>
      </w:r>
      <w:r>
        <w:rPr>
          <w:sz w:val="28"/>
          <w:szCs w:val="28"/>
        </w:rPr>
        <w:t>ошения, возникающие с 01.01.2023</w:t>
      </w:r>
      <w:r w:rsidRPr="00326A2A">
        <w:rPr>
          <w:sz w:val="28"/>
          <w:szCs w:val="28"/>
        </w:rPr>
        <w:t>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постановление</w:t>
      </w:r>
      <w:r w:rsidRPr="00326A2A">
        <w:rPr>
          <w:sz w:val="28"/>
          <w:szCs w:val="28"/>
        </w:rPr>
        <w:t xml:space="preserve"> на официальном сайте администрации </w:t>
      </w:r>
      <w:proofErr w:type="spellStart"/>
      <w:r w:rsidRPr="00326A2A">
        <w:rPr>
          <w:sz w:val="28"/>
          <w:szCs w:val="28"/>
        </w:rPr>
        <w:t>Трубчевского</w:t>
      </w:r>
      <w:proofErr w:type="spellEnd"/>
      <w:r w:rsidRPr="00326A2A">
        <w:rPr>
          <w:sz w:val="28"/>
          <w:szCs w:val="28"/>
        </w:rPr>
        <w:t xml:space="preserve"> муниципального района (</w:t>
      </w:r>
      <w:hyperlink r:id="rId10" w:history="1">
        <w:r w:rsidRPr="00326A2A">
          <w:rPr>
            <w:rStyle w:val="af3"/>
            <w:sz w:val="28"/>
            <w:szCs w:val="28"/>
          </w:rPr>
          <w:t>http://www.trubech.ru</w:t>
        </w:r>
      </w:hyperlink>
      <w:r w:rsidRPr="00326A2A">
        <w:rPr>
          <w:sz w:val="28"/>
          <w:szCs w:val="28"/>
        </w:rPr>
        <w:t>) в разделе «Общественные финансы».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36031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начальника финансового управления </w:t>
      </w:r>
      <w:proofErr w:type="spellStart"/>
      <w:r>
        <w:rPr>
          <w:sz w:val="28"/>
          <w:szCs w:val="28"/>
        </w:rPr>
        <w:t>Приходову</w:t>
      </w:r>
      <w:proofErr w:type="spellEnd"/>
      <w:r>
        <w:rPr>
          <w:sz w:val="28"/>
          <w:szCs w:val="28"/>
        </w:rPr>
        <w:t xml:space="preserve"> Н.Н.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</w:p>
    <w:p w:rsidR="00174BBD" w:rsidRPr="00B8687C" w:rsidRDefault="00174BBD" w:rsidP="00174BBD">
      <w:pPr>
        <w:ind w:firstLine="709"/>
        <w:jc w:val="both"/>
        <w:rPr>
          <w:sz w:val="28"/>
          <w:szCs w:val="28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proofErr w:type="spellStart"/>
      <w:r w:rsidRPr="003E7AC0">
        <w:t>Трубчевского</w:t>
      </w:r>
      <w:proofErr w:type="spellEnd"/>
      <w:r w:rsidRPr="003E7AC0">
        <w:t xml:space="preserve">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</w:t>
      </w:r>
      <w:proofErr w:type="spellStart"/>
      <w:r w:rsidRPr="003E7AC0">
        <w:t>Обыдённов</w:t>
      </w:r>
      <w:proofErr w:type="spellEnd"/>
    </w:p>
    <w:p w:rsidR="00174BBD" w:rsidRDefault="00174BBD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74F93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2D517F" w:rsidRPr="003E7AC0" w:rsidRDefault="00174BB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0F4E29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>постановлением администрации</w:t>
      </w:r>
      <w:r w:rsidR="000F4E29" w:rsidRPr="003E7AC0">
        <w:rPr>
          <w:sz w:val="26"/>
          <w:szCs w:val="26"/>
        </w:rPr>
        <w:t xml:space="preserve"> </w:t>
      </w:r>
    </w:p>
    <w:p w:rsidR="002D517F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spellStart"/>
      <w:r w:rsidRPr="003E7AC0">
        <w:rPr>
          <w:sz w:val="26"/>
          <w:szCs w:val="26"/>
        </w:rPr>
        <w:t>Трубчевского</w:t>
      </w:r>
      <w:proofErr w:type="spellEnd"/>
      <w:r w:rsidRPr="003E7AC0">
        <w:rPr>
          <w:sz w:val="26"/>
          <w:szCs w:val="26"/>
        </w:rPr>
        <w:t xml:space="preserve"> муниципального района </w:t>
      </w:r>
    </w:p>
    <w:p w:rsidR="000F4E29" w:rsidRPr="003E7AC0" w:rsidRDefault="006E33B7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174BBD">
        <w:rPr>
          <w:sz w:val="26"/>
          <w:szCs w:val="26"/>
        </w:rPr>
        <w:t>т</w:t>
      </w:r>
      <w:r>
        <w:rPr>
          <w:sz w:val="26"/>
          <w:szCs w:val="26"/>
        </w:rPr>
        <w:t xml:space="preserve"> 17.12.</w:t>
      </w:r>
      <w:r w:rsidR="00174BBD">
        <w:rPr>
          <w:sz w:val="26"/>
          <w:szCs w:val="26"/>
        </w:rPr>
        <w:t>2021</w:t>
      </w:r>
      <w:r>
        <w:rPr>
          <w:sz w:val="26"/>
          <w:szCs w:val="26"/>
        </w:rPr>
        <w:t>г. № 985</w:t>
      </w:r>
      <w:bookmarkStart w:id="1" w:name="_GoBack"/>
      <w:bookmarkEnd w:id="1"/>
    </w:p>
    <w:p w:rsidR="002D517F" w:rsidRDefault="002D517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bookmarkStart w:id="2" w:name="Par51"/>
      <w:bookmarkEnd w:id="2"/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ПОРЯДОК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ПРИВЛЕЧЕНИЯ ОСТАТКОВ СРЕДСТВ НА ЕДИНЫЙ СЧЕТ 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БЮДЖЕТА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И ВОЗВРАТА ПРИВЛЕЧЕННЫХ СРЕДСТВ</w:t>
      </w: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4BBD" w:rsidRPr="00D06B1F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1. Настоящий Порядок привлечения остатков сре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>дств с к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азначейских счетов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и их возврата на казначейские счета, с которых они были ранее перечислены, (далее - Порядок) устанавливает: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а) порядок привлечения </w:t>
      </w:r>
      <w:r w:rsidR="0036031D">
        <w:rPr>
          <w:rFonts w:ascii="Times New Roman" w:hAnsi="Times New Roman" w:cs="Times New Roman"/>
          <w:sz w:val="26"/>
          <w:szCs w:val="26"/>
        </w:rPr>
        <w:t>территориальным органом Федерального казначейства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осуществляющим казначейское обслуживание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(далее - уполномоченный орган)</w:t>
      </w:r>
      <w:r w:rsidR="0036031D">
        <w:rPr>
          <w:rFonts w:ascii="Times New Roman" w:hAnsi="Times New Roman" w:cs="Times New Roman"/>
          <w:sz w:val="26"/>
          <w:szCs w:val="26"/>
        </w:rPr>
        <w:t>,</w:t>
      </w:r>
      <w:r w:rsidRPr="00D06B1F">
        <w:rPr>
          <w:rFonts w:ascii="Times New Roman" w:hAnsi="Times New Roman" w:cs="Times New Roman"/>
          <w:sz w:val="26"/>
          <w:szCs w:val="26"/>
        </w:rPr>
        <w:t xml:space="preserve"> остатков средств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за счет: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средств на казначейском счете N 0323</w:t>
      </w:r>
      <w:r w:rsidR="006D7B5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6431565600027</w:t>
      </w:r>
      <w:r w:rsidRPr="00D06B1F">
        <w:rPr>
          <w:rFonts w:ascii="Times New Roman" w:hAnsi="Times New Roman" w:cs="Times New Roman"/>
          <w:sz w:val="26"/>
          <w:szCs w:val="26"/>
        </w:rPr>
        <w:t xml:space="preserve">00 для осуществления и отражения операций с денежными средствами, поступающими во временное распоряжение получателей средств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>;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средств на казначейском счете N 0323</w:t>
      </w:r>
      <w:r w:rsidR="006D7B5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6431565600027</w:t>
      </w:r>
      <w:r w:rsidRPr="00D06B1F">
        <w:rPr>
          <w:rFonts w:ascii="Times New Roman" w:hAnsi="Times New Roman" w:cs="Times New Roman"/>
          <w:sz w:val="26"/>
          <w:szCs w:val="26"/>
        </w:rPr>
        <w:t xml:space="preserve">00  для осуществления и отражения операций с денежными средствами муниципальных бюджетных и автономных учреждений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>;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б) порядок возврата уполномоченным органом средств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указанные в абзацах </w:t>
      </w:r>
      <w:r>
        <w:rPr>
          <w:rFonts w:ascii="Times New Roman" w:hAnsi="Times New Roman" w:cs="Times New Roman"/>
          <w:sz w:val="26"/>
          <w:szCs w:val="26"/>
        </w:rPr>
        <w:t>третье</w:t>
      </w:r>
      <w:r w:rsidRPr="00D06B1F">
        <w:rPr>
          <w:rFonts w:ascii="Times New Roman" w:hAnsi="Times New Roman" w:cs="Times New Roman"/>
          <w:sz w:val="26"/>
          <w:szCs w:val="26"/>
        </w:rPr>
        <w:t>м - четвертом подпункта "а" настоящего пункта (далее - казначейские счета), с которых они были ранее перечислены.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Уполномоченный орган обеспечивает ежедневное привлечение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казначейских счетах для осуществления и отражения операций с денежными средствами муниципальных бюджетных и автономных учреждений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>, (далее - казначейский счет), сложившихся после исполнения распоряжений о совершении казначейских платежей, представленных соответствующими прямыми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 участниками системы казначейских платежей в сроки, установленные правилами организации и функционирования системы казначейских платежей в соответствии со </w:t>
      </w:r>
      <w:hyperlink r:id="rId11" w:history="1">
        <w:r w:rsidRPr="00D06B1F">
          <w:rPr>
            <w:rFonts w:ascii="Times New Roman" w:hAnsi="Times New Roman" w:cs="Times New Roman"/>
            <w:color w:val="0000FF"/>
            <w:sz w:val="26"/>
            <w:szCs w:val="26"/>
          </w:rPr>
          <w:t>статьей 242.7</w:t>
        </w:r>
      </w:hyperlink>
      <w:r w:rsidRPr="00D06B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3. Уполномоченный орган осуществляет учет сре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>дств в ч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>асти сумм: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а) поступивших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с казначейских счетов;</w:t>
      </w:r>
      <w:proofErr w:type="gramEnd"/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б) перечисленных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с которых они были ранее привлечены.</w:t>
      </w:r>
      <w:proofErr w:type="gramEnd"/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Уполномоченный орган ежедневно по состоянию на 16 часов 00 минут </w:t>
      </w:r>
      <w:r w:rsidRPr="00D06B1F">
        <w:rPr>
          <w:rFonts w:ascii="Times New Roman" w:hAnsi="Times New Roman" w:cs="Times New Roman"/>
          <w:sz w:val="26"/>
          <w:szCs w:val="26"/>
        </w:rPr>
        <w:lastRenderedPageBreak/>
        <w:t xml:space="preserve">местного времени (в дни, непосредственно предшествующие выходным или нерабочим праздничным дням, - по состоянию на 15 часов 00 минут местного времени) текущего рабочего дня проводит расчет суммы средств, подлежащей перечислению с казначейских счетов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>, исходя из остатка средств, необходимых для совершения казначейских платежей, представленных соответствующими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 прямыми участниками системы казначейских платежей для осуществления выплат с указанного казначейского счета, не позднее рабочего дня, следующего за днем их представления.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Уполномоченный орган ежедневно по состоянию на 16 часов 00 минут местного времени (в дни, непосредственно предшествующие выходным или нерабочим праздничным дням, - по состоянию на 15 часов 00 минут местного времени) текущего рабочего дня проводит расчет суммы средств, подлежащей возврату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счета, исходя из остатка средств на соответствующем казначейском счете, уменьшенного на сумму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 средств, необходимых для совершения казначейских платежей, представленных соответствующими прямыми участниками системы казначейских платежей для осуществления выплат с указанного казначейского счета, не позднее рабочего дня, следующего за днем их представления.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6. Возврат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привлеченных средств осуществляет уполномоченный орган согласно требованиям п.13 ст.236 Бюджетного кодекса Российской Федерации.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Уполномоченный орган осуществляет ежедневно не позднее 17 часов 00 минут местного времени (в дни, непосредственно предшествующие выходным и нерабочим дням, - до 16 часов 00 минут местного времени) текущего рабочего дня перечисление рассчитанного остатка средств с казначейских счетов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и не позднее 10 часов 00 минут местного времени за текущим рабочим днем осуществляет возврат средств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казначейские счета.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8. Перечисление остатков сре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>дств с к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азначейских счетов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прекращается не позднее 3-го рабочего дня до завершения текущего финансового года.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Возврат привлеченных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средств на казначейские счета, с которых они ранее были привлечены, в том числе в целях проведения операций за счет привлеченных средств, осуществляется не позднее двух рабочих дней, следующих за днем приема к исполнению распоряжений (платежных документов) получателей указанных средств, а также при завершении текущего финансового года, но не позднее последнего рабочего</w:t>
      </w:r>
      <w:proofErr w:type="gramEnd"/>
      <w:r w:rsidRPr="00D06B1F">
        <w:rPr>
          <w:rFonts w:ascii="Times New Roman" w:hAnsi="Times New Roman" w:cs="Times New Roman"/>
          <w:sz w:val="26"/>
          <w:szCs w:val="26"/>
        </w:rPr>
        <w:t xml:space="preserve"> дня текущего финансового года.</w:t>
      </w:r>
    </w:p>
    <w:p w:rsidR="00174BBD" w:rsidRPr="00D06B1F" w:rsidRDefault="00174BBD" w:rsidP="00174B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D06B1F">
        <w:rPr>
          <w:rFonts w:ascii="Times New Roman" w:hAnsi="Times New Roman" w:cs="Times New Roman"/>
          <w:sz w:val="26"/>
          <w:szCs w:val="26"/>
        </w:rPr>
        <w:t xml:space="preserve">Перечисление средств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соответствующие казначейские счета осуществляется в пределах суммы, не превышающей разницы между объемом средств, поступивших с казначейского счета на единый счет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, и объемом средств, перечисленных с единого счета бюджета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06B1F">
        <w:rPr>
          <w:rFonts w:ascii="Times New Roman" w:hAnsi="Times New Roman" w:cs="Times New Roman"/>
          <w:sz w:val="26"/>
          <w:szCs w:val="26"/>
        </w:rPr>
        <w:t xml:space="preserve"> на казначейский счет в течение текущего финансового года.</w:t>
      </w:r>
      <w:proofErr w:type="gramEnd"/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7ADF" w:rsidRPr="003E7AC0" w:rsidRDefault="00297AD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sectPr w:rsidR="00297ADF" w:rsidRPr="003E7AC0" w:rsidSect="00174BBD">
      <w:pgSz w:w="11906" w:h="16838"/>
      <w:pgMar w:top="851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07" w:rsidRDefault="009A7F07">
      <w:r>
        <w:separator/>
      </w:r>
    </w:p>
  </w:endnote>
  <w:endnote w:type="continuationSeparator" w:id="0">
    <w:p w:rsidR="009A7F07" w:rsidRDefault="009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07" w:rsidRDefault="009A7F07">
      <w:r>
        <w:separator/>
      </w:r>
    </w:p>
  </w:footnote>
  <w:footnote w:type="continuationSeparator" w:id="0">
    <w:p w:rsidR="009A7F07" w:rsidRDefault="009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4218"/>
    <w:rsid w:val="001673F9"/>
    <w:rsid w:val="001702C8"/>
    <w:rsid w:val="00174BBD"/>
    <w:rsid w:val="00175503"/>
    <w:rsid w:val="00175691"/>
    <w:rsid w:val="0017653C"/>
    <w:rsid w:val="0019065B"/>
    <w:rsid w:val="00190D68"/>
    <w:rsid w:val="00191377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31D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D7B5E"/>
    <w:rsid w:val="006E20E1"/>
    <w:rsid w:val="006E257E"/>
    <w:rsid w:val="006E33B7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73CA"/>
    <w:rsid w:val="008E1356"/>
    <w:rsid w:val="008E3735"/>
    <w:rsid w:val="008E46E4"/>
    <w:rsid w:val="008E485F"/>
    <w:rsid w:val="008E4E3C"/>
    <w:rsid w:val="008F10C6"/>
    <w:rsid w:val="008F27E7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A7F07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020"/>
    <w:rsid w:val="00A96604"/>
    <w:rsid w:val="00A974DF"/>
    <w:rsid w:val="00A97F6D"/>
    <w:rsid w:val="00AA00CB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7712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B5D0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B2D9A55D02B4B4CBAEA3C22A440F4F9362AF0FEBF91D3F4869B7C59F5961B3A03C0525A52B25AB29B1CEBE5659D7D90B27837D0D8A9i7w6G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rubec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B2D9A55D02B4B4CBAEA3C22A440F4F9362AF0FEBF91D3F4869B7C59F5961B3A03C0525A53B659B29B1CEBE5659D7D90B27837D0D8A9i7w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0CD6-4839-4960-8DB2-D04DAB5E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830</Words>
  <Characters>6464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Ольга Буренкова</cp:lastModifiedBy>
  <cp:revision>73</cp:revision>
  <cp:lastPrinted>2021-12-24T12:17:00Z</cp:lastPrinted>
  <dcterms:created xsi:type="dcterms:W3CDTF">2020-02-21T06:40:00Z</dcterms:created>
  <dcterms:modified xsi:type="dcterms:W3CDTF">2022-04-04T09:11:00Z</dcterms:modified>
</cp:coreProperties>
</file>