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73" w:rsidRDefault="00133173" w:rsidP="0013317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33173" w:rsidRDefault="00133173" w:rsidP="0013317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33173" w:rsidRDefault="00133173" w:rsidP="00133173">
      <w:pPr>
        <w:spacing w:line="240" w:lineRule="auto"/>
        <w:jc w:val="center"/>
        <w:rPr>
          <w:b/>
          <w:sz w:val="26"/>
          <w:szCs w:val="26"/>
        </w:rPr>
      </w:pPr>
    </w:p>
    <w:p w:rsidR="00133173" w:rsidRDefault="00366ED5" w:rsidP="00133173">
      <w:pPr>
        <w:spacing w:line="240" w:lineRule="auto"/>
        <w:rPr>
          <w:b/>
        </w:rPr>
      </w:pPr>
      <w:r w:rsidRPr="00366ED5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33173" w:rsidRDefault="00133173" w:rsidP="0013317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33173" w:rsidRDefault="00133173" w:rsidP="00133173">
      <w:pPr>
        <w:spacing w:line="240" w:lineRule="auto"/>
        <w:jc w:val="center"/>
        <w:rPr>
          <w:b/>
          <w:sz w:val="26"/>
          <w:szCs w:val="26"/>
        </w:rPr>
      </w:pPr>
    </w:p>
    <w:p w:rsidR="00133173" w:rsidRDefault="00133173" w:rsidP="0013317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133173" w:rsidRDefault="00133173" w:rsidP="0013317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33173" w:rsidRDefault="00133173" w:rsidP="00133173">
      <w:pPr>
        <w:pStyle w:val="Default"/>
        <w:jc w:val="center"/>
        <w:rPr>
          <w:color w:val="auto"/>
        </w:rPr>
      </w:pPr>
    </w:p>
    <w:p w:rsidR="00133173" w:rsidRPr="00D90E04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33173" w:rsidRPr="00D90E04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работ, услуг для нужд 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90E04">
        <w:rPr>
          <w:bCs/>
          <w:color w:val="auto"/>
          <w:sz w:val="26"/>
          <w:szCs w:val="26"/>
        </w:rPr>
        <w:t xml:space="preserve">, </w:t>
      </w:r>
      <w:proofErr w:type="gramStart"/>
      <w:r w:rsidRPr="00D90E04">
        <w:rPr>
          <w:bCs/>
          <w:color w:val="auto"/>
          <w:sz w:val="26"/>
          <w:szCs w:val="26"/>
        </w:rPr>
        <w:t>утвержденное</w:t>
      </w:r>
      <w:proofErr w:type="gramEnd"/>
      <w:r w:rsidRPr="00D90E0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</w:t>
      </w:r>
      <w:r>
        <w:rPr>
          <w:bCs/>
          <w:color w:val="auto"/>
          <w:sz w:val="26"/>
          <w:szCs w:val="26"/>
        </w:rPr>
        <w:t xml:space="preserve"> 1069</w:t>
      </w:r>
    </w:p>
    <w:p w:rsidR="00133173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</w:p>
    <w:p w:rsidR="00133173" w:rsidRDefault="00133173" w:rsidP="00133173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D90E04">
        <w:rPr>
          <w:bCs/>
          <w:color w:val="auto"/>
          <w:sz w:val="26"/>
          <w:szCs w:val="26"/>
        </w:rPr>
        <w:t>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870FBE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1069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508, от 27.12.2021 №1037, ор 01.06.2022 №353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133173" w:rsidRDefault="00133173" w:rsidP="0013317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r>
        <w:rPr>
          <w:color w:val="auto"/>
          <w:sz w:val="26"/>
          <w:szCs w:val="26"/>
        </w:rPr>
        <w:t>Городецкой</w:t>
      </w:r>
      <w:r w:rsidRPr="000A7207">
        <w:rPr>
          <w:color w:val="auto"/>
          <w:sz w:val="26"/>
          <w:szCs w:val="26"/>
        </w:rPr>
        <w:t xml:space="preserve"> СОШ </w:t>
      </w:r>
      <w:r>
        <w:rPr>
          <w:color w:val="auto"/>
          <w:sz w:val="26"/>
          <w:szCs w:val="26"/>
        </w:rPr>
        <w:t>Гордеева П.Н..</w:t>
      </w: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33173" w:rsidRDefault="00133173" w:rsidP="0013317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Pr="00ED781E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Исп.: директор МБОУ Городецкой СОШ</w:t>
      </w:r>
    </w:p>
    <w:p w:rsidR="002B62CF" w:rsidRPr="00ED781E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Гордеев П.Н.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B62CF" w:rsidRDefault="002B62CF" w:rsidP="002B62CF"/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Default="00133173" w:rsidP="0013317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3A611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133173" w:rsidRDefault="00133173" w:rsidP="0013317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33173" w:rsidRDefault="00133173" w:rsidP="0013317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133173" w:rsidRPr="003D2178" w:rsidRDefault="00133173" w:rsidP="00133173">
      <w:pPr>
        <w:jc w:val="right"/>
        <w:rPr>
          <w:sz w:val="20"/>
          <w:szCs w:val="20"/>
        </w:rPr>
      </w:pPr>
    </w:p>
    <w:p w:rsidR="00133173" w:rsidRPr="00D67D1E" w:rsidRDefault="00133173" w:rsidP="0013317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D90E04">
        <w:rPr>
          <w:bCs/>
          <w:sz w:val="26"/>
          <w:szCs w:val="26"/>
        </w:rPr>
        <w:t>Муниципального бюджетног</w:t>
      </w:r>
      <w:r>
        <w:rPr>
          <w:bCs/>
          <w:sz w:val="26"/>
          <w:szCs w:val="26"/>
        </w:rPr>
        <w:t>о</w:t>
      </w:r>
      <w:r w:rsidRPr="00FC2A09"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133173" w:rsidRPr="00CE16F8" w:rsidRDefault="00133173" w:rsidP="00133173">
      <w:pPr>
        <w:tabs>
          <w:tab w:val="left" w:pos="709"/>
        </w:tabs>
      </w:pPr>
    </w:p>
    <w:p w:rsidR="00133173" w:rsidRPr="00CE16F8" w:rsidRDefault="00133173" w:rsidP="00133173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133173" w:rsidRPr="00CE16F8" w:rsidRDefault="00133173" w:rsidP="00133173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133173" w:rsidRPr="00CE16F8" w:rsidRDefault="00133173" w:rsidP="00133173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133173" w:rsidRPr="00CE16F8" w:rsidRDefault="00133173" w:rsidP="00133173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133173" w:rsidRPr="00CE16F8" w:rsidRDefault="00133173" w:rsidP="0013317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133173" w:rsidRPr="00CE16F8" w:rsidRDefault="00133173" w:rsidP="00133173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133173" w:rsidRPr="00CE16F8" w:rsidRDefault="00133173" w:rsidP="00133173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133173" w:rsidRPr="00CE16F8" w:rsidRDefault="00133173" w:rsidP="00133173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133173" w:rsidRPr="00CE16F8" w:rsidRDefault="00133173" w:rsidP="00133173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133173" w:rsidRPr="00CE16F8" w:rsidRDefault="00133173" w:rsidP="0013317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33173" w:rsidRPr="00CE16F8" w:rsidRDefault="00133173" w:rsidP="00133173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133173" w:rsidRPr="00CE16F8" w:rsidRDefault="00133173" w:rsidP="00133173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133173" w:rsidRDefault="00133173" w:rsidP="00133173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133173" w:rsidRPr="00CE16F8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133173" w:rsidRPr="002F2F07" w:rsidRDefault="00133173" w:rsidP="00133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3173" w:rsidRPr="003D2178" w:rsidRDefault="00133173" w:rsidP="00133173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173"/>
    <w:rsid w:val="00133173"/>
    <w:rsid w:val="001E4B68"/>
    <w:rsid w:val="002B62CF"/>
    <w:rsid w:val="00366ED5"/>
    <w:rsid w:val="003A611E"/>
    <w:rsid w:val="0052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7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3317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173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331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317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33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331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33173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3230</Words>
  <Characters>18412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2022-08-26T08:41:00Z</dcterms:created>
  <dcterms:modified xsi:type="dcterms:W3CDTF">2022-08-30T12:47:00Z</dcterms:modified>
</cp:coreProperties>
</file>