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FD" w:rsidRDefault="00BF31FD" w:rsidP="00BF31F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F31FD" w:rsidRDefault="00BF31FD" w:rsidP="00BF31F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F31FD" w:rsidRDefault="00BF31FD" w:rsidP="00BF31FD">
      <w:pPr>
        <w:spacing w:line="240" w:lineRule="auto"/>
        <w:jc w:val="center"/>
        <w:rPr>
          <w:b/>
          <w:sz w:val="26"/>
          <w:szCs w:val="26"/>
        </w:rPr>
      </w:pPr>
    </w:p>
    <w:p w:rsidR="00BF31FD" w:rsidRDefault="00F75CD8" w:rsidP="00BF31FD">
      <w:pPr>
        <w:spacing w:line="240" w:lineRule="auto"/>
        <w:rPr>
          <w:b/>
        </w:rPr>
      </w:pPr>
      <w:r w:rsidRPr="00F75CD8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F31FD" w:rsidRDefault="00BF31FD" w:rsidP="00BF31F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F31FD" w:rsidRDefault="00BF31FD" w:rsidP="00BF31FD">
      <w:pPr>
        <w:spacing w:line="240" w:lineRule="auto"/>
        <w:jc w:val="center"/>
        <w:rPr>
          <w:b/>
          <w:sz w:val="26"/>
          <w:szCs w:val="26"/>
        </w:rPr>
      </w:pPr>
    </w:p>
    <w:p w:rsidR="00BF31FD" w:rsidRDefault="00BF31FD" w:rsidP="00BF31F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5B45F9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5B45F9">
        <w:rPr>
          <w:sz w:val="26"/>
          <w:szCs w:val="26"/>
        </w:rPr>
        <w:t>715</w:t>
      </w:r>
    </w:p>
    <w:p w:rsidR="00BF31FD" w:rsidRDefault="00BF31FD" w:rsidP="00BF31F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F31FD" w:rsidRDefault="00BF31FD" w:rsidP="00BF31FD">
      <w:pPr>
        <w:pStyle w:val="Default"/>
        <w:jc w:val="center"/>
        <w:rPr>
          <w:color w:val="auto"/>
        </w:rPr>
      </w:pPr>
    </w:p>
    <w:p w:rsidR="00BF31FD" w:rsidRPr="0075656F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F31FD" w:rsidRPr="0075656F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</w:t>
      </w:r>
      <w:r w:rsidRPr="00C72D40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C72D40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C72D40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C72D40">
        <w:rPr>
          <w:sz w:val="26"/>
          <w:szCs w:val="26"/>
        </w:rPr>
        <w:t xml:space="preserve"> дополнительного образования </w:t>
      </w:r>
      <w:proofErr w:type="spellStart"/>
      <w:r w:rsidRPr="00C72D40">
        <w:rPr>
          <w:sz w:val="26"/>
          <w:szCs w:val="26"/>
        </w:rPr>
        <w:t>Белоберезковский</w:t>
      </w:r>
      <w:proofErr w:type="spellEnd"/>
      <w:r w:rsidRPr="00C72D40">
        <w:rPr>
          <w:sz w:val="26"/>
          <w:szCs w:val="26"/>
        </w:rPr>
        <w:t xml:space="preserve"> центр детского творчества «Юность»</w:t>
      </w:r>
      <w:r w:rsidRPr="00A53E7A">
        <w:rPr>
          <w:bCs/>
          <w:color w:val="000000" w:themeColor="text1"/>
          <w:sz w:val="26"/>
          <w:szCs w:val="26"/>
        </w:rPr>
        <w:t>,</w:t>
      </w:r>
      <w:r>
        <w:rPr>
          <w:bCs/>
          <w:color w:val="auto"/>
          <w:sz w:val="26"/>
          <w:szCs w:val="26"/>
        </w:rPr>
        <w:t xml:space="preserve"> утвержденное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</w:t>
      </w:r>
      <w:r w:rsidRPr="00C72D40">
        <w:rPr>
          <w:bCs/>
          <w:color w:val="auto"/>
          <w:sz w:val="26"/>
          <w:szCs w:val="26"/>
        </w:rPr>
        <w:t>района от 14.12.2018 № 1062</w:t>
      </w:r>
    </w:p>
    <w:p w:rsidR="00BF31FD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</w:p>
    <w:p w:rsidR="00BF31FD" w:rsidRDefault="00BF31FD" w:rsidP="00BF31F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C72D40">
        <w:rPr>
          <w:color w:val="auto"/>
          <w:sz w:val="26"/>
          <w:szCs w:val="26"/>
        </w:rPr>
        <w:t xml:space="preserve">Муниципального бюджетного учреждения дополнительного образования </w:t>
      </w:r>
      <w:proofErr w:type="spellStart"/>
      <w:r w:rsidRPr="00C72D40">
        <w:rPr>
          <w:color w:val="auto"/>
          <w:sz w:val="26"/>
          <w:szCs w:val="26"/>
        </w:rPr>
        <w:t>Белоберезковский</w:t>
      </w:r>
      <w:proofErr w:type="spellEnd"/>
      <w:r w:rsidRPr="00C72D40">
        <w:rPr>
          <w:color w:val="auto"/>
          <w:sz w:val="26"/>
          <w:szCs w:val="26"/>
        </w:rPr>
        <w:t xml:space="preserve"> центр детского творчества «Юность», утвержденное постановлением администрации </w:t>
      </w:r>
      <w:proofErr w:type="spellStart"/>
      <w:r w:rsidRPr="00C72D40">
        <w:rPr>
          <w:color w:val="auto"/>
          <w:sz w:val="26"/>
          <w:szCs w:val="26"/>
        </w:rPr>
        <w:t>Трубчевского</w:t>
      </w:r>
      <w:proofErr w:type="spellEnd"/>
      <w:r w:rsidRPr="00C72D40">
        <w:rPr>
          <w:color w:val="auto"/>
          <w:sz w:val="26"/>
          <w:szCs w:val="26"/>
        </w:rPr>
        <w:t xml:space="preserve"> муниципального района от 14.12.2018 № 1062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№504, от 27.12.2021 №1043, от 01.06.2022 №366)</w:t>
      </w:r>
      <w:r w:rsidRPr="00C72D40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F31FD" w:rsidRDefault="00BF31FD" w:rsidP="00BF31F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C72D40">
        <w:rPr>
          <w:color w:val="auto"/>
          <w:sz w:val="26"/>
          <w:szCs w:val="26"/>
        </w:rPr>
        <w:t>директора МБУДО ЦДТ «Юность» Силенок С.В.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F31FD" w:rsidRDefault="00BF31FD" w:rsidP="00BF31F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Pr="00C72D40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C72D40">
        <w:rPr>
          <w:i/>
          <w:sz w:val="20"/>
          <w:szCs w:val="20"/>
        </w:rPr>
        <w:t>Исп.: директор МБУДО ЦДТ «Юность»</w:t>
      </w:r>
    </w:p>
    <w:p w:rsidR="00CB0444" w:rsidRPr="00C72D40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C72D40">
        <w:rPr>
          <w:i/>
          <w:sz w:val="20"/>
          <w:szCs w:val="20"/>
        </w:rPr>
        <w:t>СиленокС.В</w:t>
      </w:r>
      <w:proofErr w:type="spellEnd"/>
      <w:r w:rsidRPr="00C72D40">
        <w:rPr>
          <w:i/>
          <w:sz w:val="20"/>
          <w:szCs w:val="20"/>
        </w:rPr>
        <w:t>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B0444" w:rsidRDefault="00CB0444" w:rsidP="00CB0444"/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Default="00BF31FD" w:rsidP="00BF31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BF31FD" w:rsidRDefault="00BF31FD" w:rsidP="00BF31F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F31FD" w:rsidRDefault="00BF31FD" w:rsidP="00BF31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5B45F9" w:rsidRPr="005B45F9">
        <w:rPr>
          <w:sz w:val="20"/>
          <w:szCs w:val="20"/>
          <w:u w:val="single"/>
        </w:rPr>
        <w:t>31.08.2022</w:t>
      </w:r>
      <w:r>
        <w:rPr>
          <w:sz w:val="20"/>
          <w:szCs w:val="20"/>
        </w:rPr>
        <w:t xml:space="preserve"> №</w:t>
      </w:r>
      <w:r w:rsidR="005B45F9">
        <w:rPr>
          <w:sz w:val="20"/>
          <w:szCs w:val="20"/>
          <w:u w:val="single"/>
        </w:rPr>
        <w:t xml:space="preserve"> 715</w:t>
      </w:r>
    </w:p>
    <w:p w:rsidR="00BF31FD" w:rsidRPr="003D2178" w:rsidRDefault="00BF31FD" w:rsidP="00BF31FD">
      <w:pPr>
        <w:jc w:val="right"/>
        <w:rPr>
          <w:sz w:val="20"/>
          <w:szCs w:val="20"/>
        </w:rPr>
      </w:pPr>
    </w:p>
    <w:p w:rsidR="00BF31FD" w:rsidRPr="00D67D1E" w:rsidRDefault="00BF31FD" w:rsidP="00BF31F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C72D40">
        <w:rPr>
          <w:sz w:val="26"/>
          <w:szCs w:val="26"/>
        </w:rPr>
        <w:t xml:space="preserve">Муниципального бюджетного учреждения дополнительного образования </w:t>
      </w:r>
      <w:proofErr w:type="spellStart"/>
      <w:r w:rsidRPr="00C72D40">
        <w:rPr>
          <w:sz w:val="26"/>
          <w:szCs w:val="26"/>
        </w:rPr>
        <w:t>Белоберезковский</w:t>
      </w:r>
      <w:proofErr w:type="spellEnd"/>
      <w:r w:rsidRPr="00C72D40">
        <w:rPr>
          <w:sz w:val="26"/>
          <w:szCs w:val="26"/>
        </w:rPr>
        <w:t xml:space="preserve"> центр детского творчества «Юность»</w:t>
      </w:r>
      <w:r w:rsidRPr="00D67D1E">
        <w:rPr>
          <w:sz w:val="26"/>
          <w:szCs w:val="26"/>
        </w:rPr>
        <w:t>:</w:t>
      </w:r>
    </w:p>
    <w:p w:rsidR="00BF31FD" w:rsidRPr="00CE16F8" w:rsidRDefault="00BF31FD" w:rsidP="00BF31FD">
      <w:pPr>
        <w:tabs>
          <w:tab w:val="left" w:pos="709"/>
        </w:tabs>
      </w:pPr>
    </w:p>
    <w:p w:rsidR="00BF31FD" w:rsidRPr="00CE16F8" w:rsidRDefault="00BF31FD" w:rsidP="00BF31F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BF31FD" w:rsidRPr="00CE16F8" w:rsidRDefault="00BF31FD" w:rsidP="00BF31F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BF31FD" w:rsidRPr="00CE16F8" w:rsidRDefault="00BF31FD" w:rsidP="00BF31F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BF31FD" w:rsidRPr="00CE16F8" w:rsidRDefault="00BF31FD" w:rsidP="00BF31F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BF31FD" w:rsidRPr="00CE16F8" w:rsidRDefault="00BF31FD" w:rsidP="00BF31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BF31FD" w:rsidRPr="00CE16F8" w:rsidRDefault="00BF31FD" w:rsidP="00BF31F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BF31FD" w:rsidRPr="00CE16F8" w:rsidRDefault="00BF31FD" w:rsidP="00BF31F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BF31FD" w:rsidRPr="00CE16F8" w:rsidRDefault="00BF31FD" w:rsidP="00BF31F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BF31FD" w:rsidRPr="00CE16F8" w:rsidRDefault="00BF31FD" w:rsidP="00BF31F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BF31FD" w:rsidRPr="00CE16F8" w:rsidRDefault="00BF31FD" w:rsidP="00BF31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BF31FD" w:rsidRPr="00CE16F8" w:rsidRDefault="00BF31FD" w:rsidP="00BF31F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BF31FD" w:rsidRPr="00CE16F8" w:rsidRDefault="00BF31FD" w:rsidP="00BF31F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BF31FD" w:rsidRDefault="00BF31FD" w:rsidP="00BF31F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BF31FD" w:rsidRPr="00CE16F8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BF31FD" w:rsidRPr="002F2F07" w:rsidRDefault="00BF31FD" w:rsidP="00BF31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31FD" w:rsidRPr="003D2178" w:rsidRDefault="00BF31FD" w:rsidP="00BF31FD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1FD"/>
    <w:rsid w:val="005B45F9"/>
    <w:rsid w:val="0069771C"/>
    <w:rsid w:val="006B3339"/>
    <w:rsid w:val="00BF31FD"/>
    <w:rsid w:val="00CB0444"/>
    <w:rsid w:val="00F7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31F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1F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F31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31F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F31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F3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F31F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3234</Words>
  <Characters>18434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2022-08-29T06:21:00Z</dcterms:created>
  <dcterms:modified xsi:type="dcterms:W3CDTF">2022-09-08T12:02:00Z</dcterms:modified>
</cp:coreProperties>
</file>