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4E362D" w:rsidP="006C30D0">
      <w:pPr>
        <w:ind w:left="709" w:right="139"/>
        <w:rPr>
          <w:rFonts w:ascii="CyrillicOld" w:hAnsi="CyrillicOld"/>
          <w:b/>
        </w:rPr>
      </w:pPr>
      <w:r w:rsidRPr="004E362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EE1E74">
        <w:rPr>
          <w:sz w:val="26"/>
          <w:szCs w:val="26"/>
        </w:rPr>
        <w:t>19.07.2023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EE1E74">
        <w:rPr>
          <w:sz w:val="26"/>
          <w:szCs w:val="26"/>
        </w:rPr>
        <w:t>468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</w:t>
      </w:r>
      <w:proofErr w:type="gramEnd"/>
      <w:r w:rsidRPr="00B25066">
        <w:rPr>
          <w:sz w:val="26"/>
          <w:szCs w:val="26"/>
        </w:rPr>
        <w:t xml:space="preserve">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 xml:space="preserve">муниципальную программу, утвержденную постановлением администрации </w:t>
      </w:r>
      <w:proofErr w:type="spellStart"/>
      <w:r w:rsidR="00336FB6">
        <w:rPr>
          <w:sz w:val="26"/>
          <w:szCs w:val="26"/>
        </w:rPr>
        <w:t>Трубчевского</w:t>
      </w:r>
      <w:proofErr w:type="spellEnd"/>
      <w:r w:rsidR="00336FB6">
        <w:rPr>
          <w:sz w:val="26"/>
          <w:szCs w:val="26"/>
        </w:rPr>
        <w:t xml:space="preserve">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336FB6" w:rsidRPr="00816A90">
        <w:rPr>
          <w:bCs/>
          <w:sz w:val="26"/>
          <w:szCs w:val="26"/>
        </w:rPr>
        <w:t>Трубчевского</w:t>
      </w:r>
      <w:proofErr w:type="spellEnd"/>
      <w:r w:rsidR="00336FB6" w:rsidRPr="00816A90">
        <w:rPr>
          <w:bCs/>
          <w:sz w:val="26"/>
          <w:szCs w:val="26"/>
        </w:rPr>
        <w:t xml:space="preserve">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336FB6" w:rsidRPr="00816A90">
        <w:rPr>
          <w:sz w:val="26"/>
          <w:szCs w:val="26"/>
        </w:rPr>
        <w:t>Трубчевского</w:t>
      </w:r>
      <w:proofErr w:type="spellEnd"/>
      <w:r w:rsidR="00336FB6" w:rsidRPr="00816A90">
        <w:rPr>
          <w:sz w:val="26"/>
          <w:szCs w:val="26"/>
        </w:rPr>
        <w:t xml:space="preserve">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207) </w:t>
      </w:r>
      <w:r w:rsidR="00336FB6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BE1E60">
              <w:rPr>
                <w:sz w:val="26"/>
                <w:szCs w:val="26"/>
              </w:rPr>
              <w:t> 171 661 126,95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BE1E60">
              <w:rPr>
                <w:color w:val="000000"/>
                <w:sz w:val="26"/>
                <w:szCs w:val="26"/>
              </w:rPr>
              <w:t>394 380 977,45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3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7D529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2</w:t>
            </w:r>
            <w:r w:rsidR="00810C96">
              <w:rPr>
                <w:rFonts w:eastAsia="Calibri"/>
                <w:lang w:eastAsia="en-US"/>
              </w:rPr>
              <w:t xml:space="preserve"> ед.</w:t>
            </w:r>
            <w:r>
              <w:rPr>
                <w:rFonts w:eastAsia="Calibri"/>
                <w:lang w:eastAsia="en-US"/>
              </w:rPr>
              <w:t>;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4 ед.</w:t>
            </w:r>
            <w:r w:rsidR="00BE1E60">
              <w:rPr>
                <w:rFonts w:eastAsia="Calibri"/>
                <w:lang w:eastAsia="en-US"/>
              </w:rPr>
              <w:t>;</w:t>
            </w:r>
          </w:p>
          <w:p w:rsidR="00BE1E60" w:rsidRDefault="00BE1E60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rFonts w:eastAsia="Calibri"/>
                <w:lang w:eastAsia="en-US"/>
              </w:rPr>
              <w:t>:</w:t>
            </w:r>
          </w:p>
          <w:p w:rsidR="00BE1E60" w:rsidRPr="00810C96" w:rsidRDefault="00BE1E60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BE1E60">
        <w:rPr>
          <w:sz w:val="26"/>
          <w:szCs w:val="26"/>
        </w:rPr>
        <w:t> 171 661 126,95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 xml:space="preserve">раздел и) муниципальной программы «Развитие образования </w:t>
      </w:r>
      <w:proofErr w:type="spellStart"/>
      <w:r w:rsidRPr="00BD7D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7D2F">
        <w:rPr>
          <w:rFonts w:ascii="Times New Roman" w:hAnsi="Times New Roman" w:cs="Times New Roman"/>
          <w:sz w:val="26"/>
          <w:szCs w:val="26"/>
        </w:rPr>
        <w:t xml:space="preserve">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4E362D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34"/>
        <w:gridCol w:w="1134"/>
        <w:gridCol w:w="1134"/>
        <w:gridCol w:w="1134"/>
        <w:gridCol w:w="1134"/>
      </w:tblGrid>
      <w:tr w:rsidR="005729DA" w:rsidRPr="00AA3630" w:rsidTr="007954C6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954C6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F50A4B" w:rsidRPr="00D47E44" w:rsidTr="007954C6">
        <w:trPr>
          <w:cantSplit/>
        </w:trPr>
        <w:tc>
          <w:tcPr>
            <w:tcW w:w="675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F50A4B" w:rsidRDefault="00F50A4B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BE1E60" w:rsidRPr="00D47E44" w:rsidTr="007954C6">
        <w:trPr>
          <w:cantSplit/>
        </w:trPr>
        <w:tc>
          <w:tcPr>
            <w:tcW w:w="675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BE1E60" w:rsidRDefault="00BE1E60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2D34E2">
        <w:rPr>
          <w:sz w:val="26"/>
          <w:szCs w:val="26"/>
        </w:rPr>
        <w:t>Контроль за</w:t>
      </w:r>
      <w:proofErr w:type="gramEnd"/>
      <w:r w:rsidR="002D34E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2D34E2">
        <w:rPr>
          <w:sz w:val="26"/>
          <w:szCs w:val="26"/>
        </w:rPr>
        <w:t>Трубчевского</w:t>
      </w:r>
      <w:proofErr w:type="spellEnd"/>
      <w:r w:rsidR="002D34E2">
        <w:rPr>
          <w:sz w:val="26"/>
          <w:szCs w:val="26"/>
        </w:rPr>
        <w:t xml:space="preserve"> муниципального района Н.Н. </w:t>
      </w:r>
      <w:proofErr w:type="spellStart"/>
      <w:r w:rsidR="002D34E2">
        <w:rPr>
          <w:sz w:val="26"/>
          <w:szCs w:val="26"/>
        </w:rPr>
        <w:t>Ничепоренко</w:t>
      </w:r>
      <w:proofErr w:type="spellEnd"/>
      <w:r w:rsidR="002D34E2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Исп.: </w:t>
      </w:r>
      <w:proofErr w:type="spellStart"/>
      <w:r w:rsidR="00BE1E60">
        <w:rPr>
          <w:i/>
          <w:color w:val="000000" w:themeColor="text1"/>
          <w:sz w:val="20"/>
          <w:szCs w:val="20"/>
        </w:rPr>
        <w:t>Врио</w:t>
      </w:r>
      <w:proofErr w:type="spellEnd"/>
      <w:r w:rsidR="00BE1E60">
        <w:rPr>
          <w:i/>
          <w:color w:val="000000" w:themeColor="text1"/>
          <w:sz w:val="20"/>
          <w:szCs w:val="20"/>
        </w:rPr>
        <w:t xml:space="preserve"> </w:t>
      </w:r>
      <w:r w:rsidRPr="00BE1E60">
        <w:rPr>
          <w:i/>
          <w:color w:val="000000" w:themeColor="text1"/>
          <w:sz w:val="20"/>
          <w:szCs w:val="20"/>
        </w:rPr>
        <w:t>начальник</w:t>
      </w:r>
      <w:r w:rsidR="00BE1E60">
        <w:rPr>
          <w:i/>
          <w:color w:val="000000" w:themeColor="text1"/>
          <w:sz w:val="20"/>
          <w:szCs w:val="20"/>
        </w:rPr>
        <w:t>а</w:t>
      </w:r>
      <w:r w:rsidRPr="00BE1E60">
        <w:rPr>
          <w:i/>
          <w:color w:val="000000" w:themeColor="text1"/>
          <w:sz w:val="20"/>
          <w:szCs w:val="20"/>
        </w:rPr>
        <w:t xml:space="preserve"> отдела образования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Ларина В.А.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Зам.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Ничепоренко</w:t>
      </w:r>
      <w:proofErr w:type="spellEnd"/>
      <w:r>
        <w:rPr>
          <w:i/>
          <w:color w:val="000000" w:themeColor="text1"/>
          <w:sz w:val="20"/>
          <w:szCs w:val="20"/>
        </w:rPr>
        <w:t xml:space="preserve"> Н.Н.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Врио</w:t>
      </w:r>
      <w:proofErr w:type="spellEnd"/>
      <w:r>
        <w:rPr>
          <w:i/>
          <w:color w:val="000000" w:themeColor="text1"/>
          <w:sz w:val="20"/>
          <w:szCs w:val="20"/>
        </w:rPr>
        <w:t xml:space="preserve"> з</w:t>
      </w:r>
      <w:r w:rsidR="00D91EEA" w:rsidRPr="00BE1E60">
        <w:rPr>
          <w:i/>
          <w:color w:val="000000" w:themeColor="text1"/>
          <w:sz w:val="20"/>
          <w:szCs w:val="20"/>
        </w:rPr>
        <w:t xml:space="preserve">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Сидорова С.И.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Начальник отдела экономики</w:t>
      </w:r>
    </w:p>
    <w:p w:rsidR="00D91EEA" w:rsidRPr="00BE1E60" w:rsidRDefault="006424D1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 w:rsidRPr="00BE1E60">
        <w:rPr>
          <w:i/>
          <w:color w:val="000000" w:themeColor="text1"/>
          <w:sz w:val="20"/>
          <w:szCs w:val="20"/>
        </w:rPr>
        <w:t>Ко</w:t>
      </w:r>
      <w:r w:rsidR="004D467B" w:rsidRPr="00BE1E60">
        <w:rPr>
          <w:i/>
          <w:color w:val="000000" w:themeColor="text1"/>
          <w:sz w:val="20"/>
          <w:szCs w:val="20"/>
        </w:rPr>
        <w:t>стыря</w:t>
      </w:r>
      <w:proofErr w:type="spellEnd"/>
      <w:r w:rsidR="004D467B" w:rsidRPr="00BE1E60">
        <w:rPr>
          <w:i/>
          <w:color w:val="000000" w:themeColor="text1"/>
          <w:sz w:val="20"/>
          <w:szCs w:val="20"/>
        </w:rPr>
        <w:t xml:space="preserve"> О.П.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Начальник </w:t>
      </w:r>
      <w:proofErr w:type="spellStart"/>
      <w:r w:rsidRPr="00BE1E60">
        <w:rPr>
          <w:i/>
          <w:color w:val="000000" w:themeColor="text1"/>
          <w:sz w:val="20"/>
          <w:szCs w:val="20"/>
        </w:rPr>
        <w:t>орг</w:t>
      </w:r>
      <w:proofErr w:type="gramStart"/>
      <w:r w:rsidRPr="00BE1E60">
        <w:rPr>
          <w:i/>
          <w:color w:val="000000" w:themeColor="text1"/>
          <w:sz w:val="20"/>
          <w:szCs w:val="20"/>
        </w:rPr>
        <w:t>.-</w:t>
      </w:r>
      <w:proofErr w:type="gramEnd"/>
      <w:r w:rsidRPr="00BE1E60">
        <w:rPr>
          <w:i/>
          <w:color w:val="000000" w:themeColor="text1"/>
          <w:sz w:val="20"/>
          <w:szCs w:val="20"/>
        </w:rPr>
        <w:t>прав</w:t>
      </w:r>
      <w:proofErr w:type="spellEnd"/>
      <w:r w:rsidRPr="00BE1E60">
        <w:rPr>
          <w:i/>
          <w:color w:val="000000" w:themeColor="text1"/>
          <w:sz w:val="20"/>
          <w:szCs w:val="20"/>
        </w:rPr>
        <w:t xml:space="preserve">. отд. </w:t>
      </w: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Москалева О.А.</w:t>
      </w:r>
    </w:p>
    <w:p w:rsidR="00D91EEA" w:rsidRPr="00BE1E60" w:rsidRDefault="00D91EEA" w:rsidP="002D34E2">
      <w:pPr>
        <w:spacing w:line="276" w:lineRule="auto"/>
        <w:jc w:val="both"/>
        <w:rPr>
          <w:color w:val="000000" w:themeColor="text1"/>
          <w:sz w:val="26"/>
          <w:szCs w:val="26"/>
        </w:rPr>
      </w:pPr>
    </w:p>
    <w:sectPr w:rsidR="00D91EEA" w:rsidRPr="00BE1E60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362D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1E74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1001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2023-07-13T06:30:00Z</cp:lastPrinted>
  <dcterms:created xsi:type="dcterms:W3CDTF">2021-07-22T06:02:00Z</dcterms:created>
  <dcterms:modified xsi:type="dcterms:W3CDTF">2023-07-25T09:35:00Z</dcterms:modified>
</cp:coreProperties>
</file>