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000351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9F49FB">
        <w:t>08.10.</w:t>
      </w:r>
      <w:r>
        <w:t>202</w:t>
      </w:r>
      <w:r w:rsidR="009F49FB">
        <w:t xml:space="preserve">4г. </w:t>
      </w:r>
      <w:r w:rsidR="009F49FB">
        <w:tab/>
      </w:r>
      <w:r w:rsidR="009F49FB">
        <w:tab/>
      </w:r>
      <w:r w:rsidR="009F49FB">
        <w:tab/>
      </w:r>
      <w:r w:rsidR="009F49FB">
        <w:tab/>
      </w:r>
      <w:r w:rsidR="009F49FB">
        <w:tab/>
      </w:r>
      <w:r w:rsidR="009F49FB">
        <w:tab/>
      </w:r>
      <w:r w:rsidR="009F49FB">
        <w:tab/>
      </w:r>
      <w:r w:rsidR="009F49FB">
        <w:tab/>
        <w:t xml:space="preserve">    № 619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984D2C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>
        <w:rPr>
          <w:sz w:val="26"/>
          <w:szCs w:val="26"/>
        </w:rPr>
        <w:t>30.09.2024 № 599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>
        <w:rPr>
          <w:sz w:val="26"/>
          <w:szCs w:val="26"/>
        </w:rPr>
        <w:t xml:space="preserve">4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</w:t>
      </w:r>
      <w:r w:rsidR="00BE1A6D">
        <w:rPr>
          <w:rFonts w:ascii="Times New Roman" w:hAnsi="Times New Roman" w:cs="Times New Roman"/>
          <w:sz w:val="26"/>
          <w:szCs w:val="26"/>
        </w:rPr>
        <w:t>2</w:t>
      </w:r>
      <w:r w:rsidR="00B876E2">
        <w:rPr>
          <w:rFonts w:ascii="Times New Roman" w:hAnsi="Times New Roman" w:cs="Times New Roman"/>
          <w:sz w:val="26"/>
          <w:szCs w:val="26"/>
        </w:rPr>
        <w:t xml:space="preserve"> № 929</w:t>
      </w:r>
      <w:r w:rsidR="00BE1A6D">
        <w:rPr>
          <w:rFonts w:ascii="Times New Roman" w:hAnsi="Times New Roman" w:cs="Times New Roman"/>
          <w:sz w:val="26"/>
          <w:szCs w:val="26"/>
        </w:rPr>
        <w:t xml:space="preserve">, от 01.12.2023 № 868, от 12.10.2023 № 709, от 01.04.2024 № 194, от 10.09.2024 № 560, от 01.10.2024 № 605, от 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F6FE1" w:rsidP="00984D2C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r w:rsidR="00984D2C">
              <w:rPr>
                <w:rFonts w:ascii="Times New Roman" w:hAnsi="Times New Roman" w:cs="Times New Roman"/>
                <w:sz w:val="26"/>
                <w:szCs w:val="26"/>
              </w:rPr>
              <w:t>981,00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984D2C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6 819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>пожарной безопасности и безопасности людей на водных объектах</w:t>
      </w:r>
    </w:p>
    <w:p w:rsidR="001C2566" w:rsidRDefault="001C2566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5 328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4 398,</w:t>
            </w:r>
            <w:r w:rsidR="002942AF" w:rsidRPr="002942AF">
              <w:rPr>
                <w:sz w:val="26"/>
                <w:szCs w:val="26"/>
              </w:rPr>
              <w:t>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5 969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5 465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5 285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984D2C">
        <w:rPr>
          <w:sz w:val="26"/>
          <w:szCs w:val="26"/>
        </w:rPr>
        <w:t xml:space="preserve">октября 2024 </w:t>
      </w:r>
      <w:r w:rsidRPr="00DD2265">
        <w:rPr>
          <w:sz w:val="26"/>
          <w:szCs w:val="26"/>
        </w:rPr>
        <w:t>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984D2C" w:rsidRPr="002407E6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Временно исполняющий обязанности</w:t>
      </w:r>
    </w:p>
    <w:p w:rsidR="00984D2C" w:rsidRPr="002407E6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главы администрации</w:t>
      </w: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Трубчевского муниципального района                                             Е.А.Слободчиков</w:t>
      </w: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bookmarkStart w:id="1" w:name="_GoBack"/>
      <w:bookmarkEnd w:id="1"/>
    </w:p>
    <w:sectPr w:rsidR="00984D2C" w:rsidSect="00CA7144">
      <w:pgSz w:w="11906" w:h="16838"/>
      <w:pgMar w:top="1134" w:right="99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351" w:rsidRDefault="00000351">
      <w:r>
        <w:separator/>
      </w:r>
    </w:p>
  </w:endnote>
  <w:endnote w:type="continuationSeparator" w:id="0">
    <w:p w:rsidR="00000351" w:rsidRDefault="0000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351" w:rsidRDefault="00000351">
      <w:r>
        <w:separator/>
      </w:r>
    </w:p>
  </w:footnote>
  <w:footnote w:type="continuationSeparator" w:id="0">
    <w:p w:rsidR="00000351" w:rsidRDefault="00000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351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A58AD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AB9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D2C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49FB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6D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505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A7144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46C7CE8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32175-8F1A-4521-A496-F9286B14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92</cp:revision>
  <cp:lastPrinted>2020-03-11T08:20:00Z</cp:lastPrinted>
  <dcterms:created xsi:type="dcterms:W3CDTF">2020-02-21T06:40:00Z</dcterms:created>
  <dcterms:modified xsi:type="dcterms:W3CDTF">2024-10-08T12:22:00Z</dcterms:modified>
</cp:coreProperties>
</file>